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CC" w:rsidRDefault="009A46CC" w:rsidP="00D2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5BC4" w:rsidRDefault="0011319C" w:rsidP="00D2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ТЕХНІЧНІ </w:t>
      </w:r>
      <w:r w:rsidR="00D25BC4" w:rsidRPr="000208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ВИМОГ</w:t>
      </w:r>
      <w:r w:rsidR="0046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D25BC4" w:rsidRPr="000208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A46CC" w:rsidRDefault="009A46CC" w:rsidP="00D2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47F3F" w:rsidRPr="0031346C" w:rsidRDefault="002D34E9" w:rsidP="00847F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847F3F" w:rsidRPr="0031346C">
        <w:rPr>
          <w:rFonts w:ascii="Times New Roman" w:hAnsi="Times New Roman"/>
          <w:b/>
          <w:bCs/>
          <w:sz w:val="28"/>
          <w:szCs w:val="28"/>
          <w:lang w:val="uk-UA"/>
        </w:rPr>
        <w:t>становлення нових стендів (пілонів) з загальноміською, маршрутно-картографічною та туристичною інформацією (далі - Роботи).</w:t>
      </w:r>
    </w:p>
    <w:p w:rsidR="00847F3F" w:rsidRPr="0031346C" w:rsidRDefault="00847F3F" w:rsidP="00847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4"/>
        <w:gridCol w:w="2551"/>
        <w:gridCol w:w="6833"/>
      </w:tblGrid>
      <w:tr w:rsidR="00B431D7" w:rsidRPr="009C4B6F" w:rsidTr="009C6D65">
        <w:tc>
          <w:tcPr>
            <w:tcW w:w="534" w:type="dxa"/>
          </w:tcPr>
          <w:p w:rsidR="00B431D7" w:rsidRPr="006C1727" w:rsidRDefault="00B431D7" w:rsidP="00465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B431D7" w:rsidRPr="006C1727" w:rsidRDefault="00B431D7" w:rsidP="00465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6833" w:type="dxa"/>
          </w:tcPr>
          <w:p w:rsidR="00B431D7" w:rsidRPr="00F32792" w:rsidRDefault="00BE200A" w:rsidP="009C4B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нових стендів (пілонів) з загальноміською, маршрутно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</w:r>
            <w:r w:rsidRPr="00D66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картографічною та туристичною інформацією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державній та іноземних мовах </w:t>
            </w:r>
            <w:r w:rsidR="009C4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– стенди (пілони)</w:t>
            </w:r>
          </w:p>
        </w:tc>
      </w:tr>
      <w:tr w:rsidR="00A2531A" w:rsidRPr="009C4B6F" w:rsidTr="009C6D65">
        <w:tc>
          <w:tcPr>
            <w:tcW w:w="534" w:type="dxa"/>
          </w:tcPr>
          <w:p w:rsidR="00A2531A" w:rsidRDefault="00A2531A" w:rsidP="00A2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A2531A" w:rsidRPr="006C1727" w:rsidRDefault="00A2531A" w:rsidP="002812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 виконання </w:t>
            </w:r>
            <w:r w:rsidR="00281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</w:t>
            </w:r>
          </w:p>
        </w:tc>
        <w:tc>
          <w:tcPr>
            <w:tcW w:w="6833" w:type="dxa"/>
          </w:tcPr>
          <w:p w:rsidR="00A2531A" w:rsidRPr="006C1727" w:rsidRDefault="00A2531A" w:rsidP="00A25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1D7" w:rsidRPr="009C4B6F" w:rsidTr="009C6D65">
        <w:tc>
          <w:tcPr>
            <w:tcW w:w="534" w:type="dxa"/>
          </w:tcPr>
          <w:p w:rsidR="00B431D7" w:rsidRPr="006C1727" w:rsidRDefault="00F965F9" w:rsidP="00465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B431D7" w:rsidRPr="006C1727" w:rsidRDefault="00B431D7" w:rsidP="00942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942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об’єктів</w:t>
            </w:r>
          </w:p>
        </w:tc>
        <w:tc>
          <w:tcPr>
            <w:tcW w:w="6833" w:type="dxa"/>
          </w:tcPr>
          <w:p w:rsidR="005D1B5D" w:rsidRPr="004D0968" w:rsidRDefault="00457BE7" w:rsidP="00457B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D1B5D" w:rsidRPr="004D0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одиниц</w:t>
            </w:r>
            <w:r w:rsidR="00915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5D1B5D" w:rsidRPr="004D0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2E33" w:rsidRPr="00313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стендів (пілонів)</w:t>
            </w:r>
          </w:p>
        </w:tc>
      </w:tr>
      <w:tr w:rsidR="00B431D7" w:rsidRPr="006C1727" w:rsidTr="009C6D65">
        <w:tc>
          <w:tcPr>
            <w:tcW w:w="534" w:type="dxa"/>
          </w:tcPr>
          <w:p w:rsidR="00B431D7" w:rsidRPr="006C1727" w:rsidRDefault="00F965F9" w:rsidP="00465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</w:tcPr>
          <w:p w:rsidR="00B431D7" w:rsidRPr="006C1727" w:rsidRDefault="00B431D7" w:rsidP="002812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  <w:r w:rsidR="00281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робіт</w:t>
            </w:r>
          </w:p>
        </w:tc>
        <w:tc>
          <w:tcPr>
            <w:tcW w:w="6833" w:type="dxa"/>
          </w:tcPr>
          <w:p w:rsidR="00B431D7" w:rsidRPr="006C1727" w:rsidRDefault="00B431D7" w:rsidP="009C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6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2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4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Шепетівка</w:t>
            </w:r>
            <w:r w:rsidR="00C72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адресна програма додається (Додаток 1)</w:t>
            </w:r>
          </w:p>
        </w:tc>
      </w:tr>
      <w:tr w:rsidR="00B431D7" w:rsidRPr="006C1727" w:rsidTr="009C6D65">
        <w:tc>
          <w:tcPr>
            <w:tcW w:w="534" w:type="dxa"/>
          </w:tcPr>
          <w:p w:rsidR="00B431D7" w:rsidRPr="006C1727" w:rsidRDefault="00F965F9" w:rsidP="00465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</w:tcPr>
          <w:p w:rsidR="00B431D7" w:rsidRPr="006C1727" w:rsidRDefault="00B431D7" w:rsidP="00465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</w:t>
            </w:r>
            <w:r w:rsidR="00281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робіт</w:t>
            </w:r>
          </w:p>
        </w:tc>
        <w:tc>
          <w:tcPr>
            <w:tcW w:w="6833" w:type="dxa"/>
          </w:tcPr>
          <w:p w:rsidR="00B431D7" w:rsidRPr="006C1727" w:rsidRDefault="00B431D7" w:rsidP="009C4B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201</w:t>
            </w:r>
            <w:r w:rsidR="009C4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D25BC4" w:rsidRPr="0040444D" w:rsidTr="009C6D65">
        <w:tc>
          <w:tcPr>
            <w:tcW w:w="534" w:type="dxa"/>
          </w:tcPr>
          <w:p w:rsidR="00D25BC4" w:rsidRDefault="00F965F9" w:rsidP="00D25B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</w:tcPr>
          <w:p w:rsidR="00D25BC4" w:rsidRPr="009C50C3" w:rsidRDefault="00D25BC4" w:rsidP="002812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 </w:t>
            </w:r>
            <w:r w:rsidR="00281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</w:t>
            </w:r>
            <w:r w:rsidRPr="009C5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повинен</w:t>
            </w:r>
          </w:p>
        </w:tc>
        <w:tc>
          <w:tcPr>
            <w:tcW w:w="6833" w:type="dxa"/>
          </w:tcPr>
          <w:p w:rsidR="00313F7C" w:rsidRDefault="00313F7C" w:rsidP="00313F7C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spacing w:after="200"/>
              <w:ind w:left="34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локальні кошториси на кожний стенд (пілон).</w:t>
            </w:r>
          </w:p>
          <w:p w:rsidR="00313F7C" w:rsidRDefault="00313F7C" w:rsidP="00313F7C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spacing w:after="200"/>
              <w:ind w:left="34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експертизу локальних кошторисів у встановленому Законом порядку.</w:t>
            </w:r>
          </w:p>
          <w:p w:rsidR="004B46DB" w:rsidRDefault="004B46DB" w:rsidP="00313F7C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spacing w:after="200"/>
              <w:ind w:left="34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r w:rsidR="009C4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</w:t>
            </w:r>
            <w:r w:rsidR="00ED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стендів (пілонів) </w:t>
            </w:r>
            <w:r w:rsidR="0031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складених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локальних кошторисів на кожний існуючий </w:t>
            </w:r>
            <w:r w:rsidRPr="00313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(пілон).</w:t>
            </w:r>
          </w:p>
          <w:p w:rsidR="00FF5547" w:rsidRDefault="00FF5547" w:rsidP="009C6D65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ind w:left="34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дотримання вимог законодавства щодо порядку виконання будівельних робіт.</w:t>
            </w:r>
          </w:p>
          <w:p w:rsidR="007C54F8" w:rsidRDefault="007C54F8" w:rsidP="009C6D65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ind w:left="34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Оформити </w:t>
            </w:r>
            <w:r w:rsidRPr="00D355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носії туристичної інформації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759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6759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(пілон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="00313F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 </w:t>
            </w:r>
            <w:r w:rsidRPr="006759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загальноміською, маршрутно-картографічною та туристичною інформацією</w:t>
            </w:r>
            <w:r w:rsidRPr="00D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4B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м.Шепетівки</w:t>
            </w:r>
            <w:r w:rsidRPr="00D3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5BC4" w:rsidRPr="000D591A" w:rsidRDefault="0040444D" w:rsidP="009C6D65">
            <w:pPr>
              <w:pStyle w:val="BalloonText"/>
              <w:numPr>
                <w:ilvl w:val="0"/>
                <w:numId w:val="31"/>
              </w:numPr>
              <w:tabs>
                <w:tab w:val="left" w:pos="317"/>
              </w:tabs>
              <w:ind w:left="34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гарантійне обслуговув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ання </w:t>
            </w:r>
            <w:r w:rsidRPr="00A156D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носіїв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туристичної інформації</w:t>
            </w:r>
            <w:r w:rsidRPr="00A156D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6759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стендів (пілонів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D25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 року з моменту їх оновлення</w:t>
            </w:r>
            <w:r w:rsidR="000D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431D7" w:rsidRPr="009238D7" w:rsidTr="009C6D65">
        <w:tc>
          <w:tcPr>
            <w:tcW w:w="534" w:type="dxa"/>
          </w:tcPr>
          <w:p w:rsidR="00B431D7" w:rsidRPr="006C1727" w:rsidRDefault="00F965F9" w:rsidP="00465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B431D7" w:rsidRPr="006C1727" w:rsidRDefault="00B431D7" w:rsidP="00465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та або якісні вимоги до предмета закупівлі</w:t>
            </w:r>
          </w:p>
        </w:tc>
        <w:tc>
          <w:tcPr>
            <w:tcW w:w="6833" w:type="dxa"/>
          </w:tcPr>
          <w:p w:rsidR="006F2E33" w:rsidRPr="00534261" w:rsidRDefault="00D25BC4" w:rsidP="009C4B6F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A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Розміри та зовнішній вигляд</w:t>
            </w:r>
            <w:r w:rsidRPr="0022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2E33" w:rsidRPr="0022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стендів (пілонів)</w:t>
            </w:r>
            <w:r w:rsidRPr="0022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C4B6F" w:rsidRDefault="009C4B6F" w:rsidP="00344DB5">
            <w:pPr>
              <w:pStyle w:val="BalloonText"/>
              <w:numPr>
                <w:ilvl w:val="0"/>
                <w:numId w:val="24"/>
              </w:numPr>
              <w:tabs>
                <w:tab w:val="left" w:pos="459"/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 2</w:t>
            </w:r>
            <w:r w:rsidR="00F66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3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57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см,</w:t>
            </w:r>
          </w:p>
          <w:p w:rsidR="006F2E33" w:rsidRPr="00534261" w:rsidRDefault="006F2E33" w:rsidP="00344DB5">
            <w:pPr>
              <w:pStyle w:val="BalloonText"/>
              <w:numPr>
                <w:ilvl w:val="0"/>
                <w:numId w:val="24"/>
              </w:numPr>
              <w:tabs>
                <w:tab w:val="left" w:pos="459"/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ширина 99 см, </w:t>
            </w:r>
          </w:p>
          <w:p w:rsidR="006F2E33" w:rsidRDefault="006F2E33" w:rsidP="00344DB5">
            <w:pPr>
              <w:pStyle w:val="BalloonText"/>
              <w:numPr>
                <w:ilvl w:val="0"/>
                <w:numId w:val="24"/>
              </w:numPr>
              <w:tabs>
                <w:tab w:val="left" w:pos="459"/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товщина 10 см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5BC4" w:rsidRPr="00722A09" w:rsidRDefault="00D25BC4" w:rsidP="00344DB5">
            <w:pPr>
              <w:pStyle w:val="Heading2"/>
              <w:tabs>
                <w:tab w:val="left" w:pos="1695"/>
              </w:tabs>
              <w:jc w:val="both"/>
              <w:outlineLvl w:val="1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5019C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uk-UA"/>
              </w:rPr>
              <w:t>Зовнішнє оформлення</w:t>
            </w:r>
            <w:r w:rsidRPr="0022440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uk-UA"/>
              </w:rPr>
              <w:t xml:space="preserve"> повинно </w:t>
            </w:r>
            <w:r w:rsidR="00B503C9" w:rsidRPr="0022440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uk-UA"/>
              </w:rPr>
              <w:t xml:space="preserve">відповідати візуалізації наведеної нижче і </w:t>
            </w:r>
            <w:r w:rsidRPr="0022440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uk-UA"/>
              </w:rPr>
              <w:t xml:space="preserve">складатися з оновленої </w:t>
            </w:r>
            <w:r w:rsidR="00232680" w:rsidRPr="0022440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uk-UA"/>
              </w:rPr>
              <w:t>загальномісько</w:t>
            </w:r>
            <w:r w:rsidRPr="0022440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uk-UA"/>
              </w:rPr>
              <w:t>ї інформації станом на 201</w:t>
            </w:r>
            <w:r w:rsidR="000D591A" w:rsidRPr="0022440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  <w:r w:rsidRPr="0022440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uk-UA"/>
              </w:rPr>
              <w:t xml:space="preserve"> рік, в тому числі згідно рішень</w:t>
            </w:r>
            <w:bookmarkStart w:id="0" w:name="4"/>
            <w:bookmarkEnd w:id="0"/>
            <w:r w:rsidRPr="0022440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bookmarkStart w:id="1" w:name="5"/>
            <w:bookmarkEnd w:id="1"/>
            <w:r w:rsidRPr="0022440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uk-UA"/>
              </w:rPr>
              <w:t xml:space="preserve">Київської міської ради «Про повернення історичних назв та перейменування вулиць, площ, провулків у місті Києві» </w:t>
            </w:r>
            <w:r w:rsidR="00722A09" w:rsidRPr="00722A09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uk-UA"/>
              </w:rPr>
              <w:t>/</w:t>
            </w:r>
          </w:p>
          <w:p w:rsidR="00D25BC4" w:rsidRDefault="00D25BC4" w:rsidP="00344DB5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географічні назви передаються відповідно Державного реєстру географічних</w:t>
            </w:r>
            <w:r w:rsidRPr="00FD0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2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 (на підставі Закону України «Про географічні назви» від</w:t>
            </w:r>
            <w:r w:rsidRPr="00FD0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 травня 2005 р. № 2604</w:t>
            </w:r>
            <w:r w:rsidRPr="00E92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-ІV)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B60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60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усталеної практики</w:t>
            </w:r>
            <w:r w:rsidRPr="00E92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2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r w:rsidRPr="00B60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Топонімічні настанови (для видавців карт та інших видавців)</w:t>
            </w:r>
            <w:r w:rsidRPr="00E92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0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B60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Топонімічні настанови </w:t>
            </w:r>
            <w:r w:rsidRPr="00E92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повинні бути </w:t>
            </w:r>
            <w:r w:rsidRPr="00B60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перекладені англійською мовою зi спе</w:t>
            </w:r>
            <w:r w:rsidRPr="00FD0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ціальними рекомендаціями для зарубіжних користувачів</w:t>
            </w:r>
            <w:r w:rsidRPr="00E92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0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(Toponymic guide lines for international use. Ukraine</w:t>
            </w:r>
            <w:r w:rsidRPr="00E92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0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E92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60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924EE" w:rsidRPr="007924EE" w:rsidRDefault="007924EE" w:rsidP="00344DB5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оформлення розробляється Виконавцем згідно зі зразком оформлення (</w:t>
            </w:r>
            <w:r w:rsidR="009C6D65" w:rsidRPr="009C6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наведено нижче</w:t>
            </w: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924EE" w:rsidRPr="007924EE" w:rsidRDefault="007924EE" w:rsidP="00344DB5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Верхня частина стенду</w:t>
            </w: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складається з:</w:t>
            </w:r>
          </w:p>
          <w:p w:rsidR="007924EE" w:rsidRPr="00367BAC" w:rsidRDefault="007924EE" w:rsidP="00344DB5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Логотипу </w:t>
            </w:r>
            <w:r w:rsidR="00722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 різнокольорового</w:t>
            </w:r>
            <w:r w:rsidRPr="00367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Висоту логотипу підібрати в процесі розробки дизайну макету.</w:t>
            </w:r>
          </w:p>
          <w:p w:rsidR="007924EE" w:rsidRPr="007924EE" w:rsidRDefault="007924EE" w:rsidP="00344DB5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Маршрутно-картографічна та туристична інформація обох сторін пілона повинна бути узгоджена між собою. Об'єкти спеціального зм</w:t>
            </w:r>
            <w:r w:rsidR="009C6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істу узгоджуються з обох сторін</w:t>
            </w: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C6D65" w:rsidRDefault="007924EE" w:rsidP="00344DB5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Компонування карти </w:t>
            </w:r>
            <w:r w:rsidR="009C6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виконується </w:t>
            </w: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із розміром середньої частини стенду. </w:t>
            </w:r>
          </w:p>
          <w:p w:rsidR="007924EE" w:rsidRPr="007924EE" w:rsidRDefault="007924EE" w:rsidP="00344DB5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карти з легендою:</w:t>
            </w:r>
          </w:p>
          <w:p w:rsidR="007924EE" w:rsidRPr="007924EE" w:rsidRDefault="007924EE" w:rsidP="00344DB5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 1380 мм</w:t>
            </w:r>
          </w:p>
          <w:p w:rsidR="007924EE" w:rsidRPr="007924EE" w:rsidRDefault="007924EE" w:rsidP="00344DB5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 950 мм (не включаючи поля основного кольору по 20 мм з кожної сторони карти).</w:t>
            </w:r>
          </w:p>
          <w:p w:rsidR="007924EE" w:rsidRPr="00413FF4" w:rsidRDefault="007924EE" w:rsidP="00344DB5">
            <w:pPr>
              <w:tabs>
                <w:tab w:val="left" w:pos="1695"/>
              </w:tabs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Об'єкти показу:</w:t>
            </w:r>
          </w:p>
          <w:p w:rsidR="007924EE" w:rsidRPr="007924EE" w:rsidRDefault="007924EE" w:rsidP="00344DB5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Знак зі стрілкою "ВИ ТУТ" "ARE YOU HERE" показує місцезнаходження </w:t>
            </w:r>
            <w:r w:rsidR="009C6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стенду (</w:t>
            </w:r>
            <w:r w:rsidR="009C6D65"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пілон</w:t>
            </w:r>
            <w:r w:rsidR="009C6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у)</w:t>
            </w: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924EE" w:rsidRPr="007924EE" w:rsidRDefault="007924EE" w:rsidP="00344DB5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Залізничні вокзали, станції;</w:t>
            </w:r>
          </w:p>
          <w:p w:rsidR="007924EE" w:rsidRPr="007924EE" w:rsidRDefault="009C6D65" w:rsidP="00344DB5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Автовокзал, автостанції</w:t>
            </w:r>
            <w:r w:rsidR="007924EE"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924EE" w:rsidRPr="007924EE" w:rsidRDefault="007924EE" w:rsidP="00344DB5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Парки;</w:t>
            </w:r>
          </w:p>
          <w:p w:rsidR="007924EE" w:rsidRPr="007924EE" w:rsidRDefault="007924EE" w:rsidP="00344DB5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Готелі;</w:t>
            </w:r>
          </w:p>
          <w:p w:rsidR="007924EE" w:rsidRPr="007924EE" w:rsidRDefault="007924EE" w:rsidP="0018223E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Медичні установи;</w:t>
            </w:r>
          </w:p>
          <w:p w:rsidR="007924EE" w:rsidRPr="007924EE" w:rsidRDefault="007924EE" w:rsidP="00344DB5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Пам'ятники та пам'ятні знаки;</w:t>
            </w:r>
          </w:p>
          <w:p w:rsidR="007924EE" w:rsidRPr="007924EE" w:rsidRDefault="0018223E" w:rsidP="00344DB5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культури</w:t>
            </w:r>
          </w:p>
          <w:p w:rsidR="007924EE" w:rsidRPr="007924EE" w:rsidRDefault="007924EE" w:rsidP="00344DB5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Музеї;</w:t>
            </w:r>
          </w:p>
          <w:p w:rsidR="00413FF4" w:rsidRPr="007924EE" w:rsidRDefault="00413FF4" w:rsidP="00344DB5">
            <w:pPr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 вбиральні;</w:t>
            </w:r>
          </w:p>
          <w:p w:rsidR="007924EE" w:rsidRPr="007924EE" w:rsidRDefault="007924EE" w:rsidP="00344DB5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</w:t>
            </w:r>
            <w:r w:rsidR="0018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туристичні об'єкти</w:t>
            </w: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924EE" w:rsidRPr="007924EE" w:rsidRDefault="007924EE" w:rsidP="00344DB5">
            <w:pPr>
              <w:tabs>
                <w:tab w:val="left" w:pos="169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карті підписи об'єктів даються українською мовою та транслітерацією латинкою </w:t>
            </w:r>
            <w:r w:rsidRPr="0022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(або англійською мовою)</w:t>
            </w: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6685C" w:rsidRPr="007924EE" w:rsidRDefault="0056685C" w:rsidP="0056685C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орожн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о-вуличн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мереж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а;</w:t>
            </w:r>
          </w:p>
          <w:p w:rsidR="0056685C" w:rsidRPr="007924EE" w:rsidRDefault="0056685C" w:rsidP="0056685C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Залізничні вокзали, станції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685C" w:rsidRPr="007924EE" w:rsidRDefault="0056685C" w:rsidP="0056685C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Автовокзал, автостанції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685C" w:rsidRPr="007924EE" w:rsidRDefault="0018223E" w:rsidP="0056685C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Парки</w:t>
            </w:r>
            <w:r w:rsidR="0056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685C" w:rsidRPr="007924EE" w:rsidRDefault="0056685C" w:rsidP="0056685C">
            <w:pPr>
              <w:pStyle w:val="ListParagraph"/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омери буди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нків (тільки українською мовою);</w:t>
            </w:r>
          </w:p>
          <w:p w:rsidR="0018223E" w:rsidRDefault="0018223E" w:rsidP="0056685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24EE" w:rsidRPr="007924EE" w:rsidRDefault="007924EE" w:rsidP="0056685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Легенда українською та англійською</w:t>
            </w:r>
            <w:r w:rsidR="0056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мовами</w:t>
            </w: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 легенду винести розшифрування значкових об'єктів:</w:t>
            </w:r>
          </w:p>
          <w:p w:rsidR="007924EE" w:rsidRPr="007924EE" w:rsidRDefault="007924EE" w:rsidP="00344DB5">
            <w:pPr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Залізничні вокзали, станції;</w:t>
            </w:r>
          </w:p>
          <w:p w:rsidR="007924EE" w:rsidRPr="007924EE" w:rsidRDefault="0056685C" w:rsidP="00344DB5">
            <w:pPr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Автовокзал</w:t>
            </w:r>
            <w:r w:rsidR="007924EE"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924EE" w:rsidRPr="007924EE" w:rsidRDefault="007924EE" w:rsidP="00344DB5">
            <w:pPr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Готелі;</w:t>
            </w:r>
          </w:p>
          <w:p w:rsidR="007924EE" w:rsidRPr="007924EE" w:rsidRDefault="007924EE" w:rsidP="00344DB5">
            <w:pPr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Музеї;</w:t>
            </w:r>
          </w:p>
          <w:p w:rsidR="007924EE" w:rsidRPr="007924EE" w:rsidRDefault="0018223E" w:rsidP="00344DB5">
            <w:pPr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Будинки культури;</w:t>
            </w:r>
          </w:p>
          <w:p w:rsidR="007924EE" w:rsidRPr="007924EE" w:rsidRDefault="007924EE" w:rsidP="00344DB5">
            <w:pPr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Пам'ятники та пам'ятні знаки;</w:t>
            </w:r>
          </w:p>
          <w:p w:rsidR="007924EE" w:rsidRDefault="007924EE" w:rsidP="00344DB5">
            <w:pPr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Медичні установи;</w:t>
            </w:r>
          </w:p>
          <w:p w:rsidR="00413FF4" w:rsidRPr="007924EE" w:rsidRDefault="00413FF4" w:rsidP="00344DB5">
            <w:pPr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 вбиральні.</w:t>
            </w:r>
          </w:p>
          <w:p w:rsidR="007924EE" w:rsidRPr="007924EE" w:rsidRDefault="007924EE" w:rsidP="00344DB5">
            <w:pPr>
              <w:tabs>
                <w:tab w:val="left" w:pos="169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туристичні об'єкти</w:t>
            </w:r>
            <w:r w:rsidR="00AF0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даються чорно–білими малюнками</w:t>
            </w: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Об’єкти, що відсутні, відтворюються з репродукцій або реконструкцій зовнішнього вигляду. </w:t>
            </w:r>
          </w:p>
          <w:p w:rsidR="0056685C" w:rsidRPr="0055216D" w:rsidRDefault="0056685C" w:rsidP="0056685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карті об'єкти туристичного показу подаються у відповідному значку, з порядковим номером згідно з алфавітом. У легенді об'єкти розташувати за алфавітом, з номером у відповідному значку.</w:t>
            </w:r>
          </w:p>
          <w:p w:rsidR="007924EE" w:rsidRPr="007924EE" w:rsidRDefault="007924EE" w:rsidP="0056685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Охоплення території та орієнтування карти дається відповідно до фотографії пілона, можливі зміни, згідно оновлення та доцільності.</w:t>
            </w:r>
          </w:p>
          <w:p w:rsidR="007924EE" w:rsidRPr="007924EE" w:rsidRDefault="007924EE" w:rsidP="0056685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Нижня частина стенду складається з такої текстової інформації:</w:t>
            </w:r>
          </w:p>
          <w:p w:rsidR="007924EE" w:rsidRPr="007924EE" w:rsidRDefault="00D803F9" w:rsidP="00344DB5">
            <w:pPr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3F9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D80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D803F9">
              <w:rPr>
                <w:rFonts w:ascii="Times New Roman" w:hAnsi="Times New Roman" w:cs="Times New Roman"/>
                <w:sz w:val="28"/>
                <w:szCs w:val="28"/>
              </w:rPr>
              <w:t>shepetivka</w:t>
            </w:r>
            <w:r w:rsidRPr="00D80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803F9">
              <w:rPr>
                <w:rFonts w:ascii="Times New Roman" w:hAnsi="Times New Roman" w:cs="Times New Roman"/>
                <w:sz w:val="28"/>
                <w:szCs w:val="28"/>
              </w:rPr>
              <w:t>rada</w:t>
            </w:r>
            <w:r w:rsidRPr="00D80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803F9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r w:rsidRPr="00D80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803F9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r w:rsidRPr="00D80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7924EE"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:rsidR="007924EE" w:rsidRPr="007924EE" w:rsidRDefault="007924EE" w:rsidP="00344DB5">
            <w:pPr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QR – код (надається окремим файлом);</w:t>
            </w:r>
          </w:p>
          <w:p w:rsidR="007924EE" w:rsidRDefault="007924EE" w:rsidP="00344DB5">
            <w:pPr>
              <w:numPr>
                <w:ilvl w:val="0"/>
                <w:numId w:val="24"/>
              </w:num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Visit to more information.</w:t>
            </w:r>
          </w:p>
          <w:p w:rsidR="00D803F9" w:rsidRDefault="00D803F9" w:rsidP="00344DB5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F2E33" w:rsidRPr="00F55A40" w:rsidRDefault="006F2E33" w:rsidP="00344DB5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5A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Матеріали для виготовлення (згідно візуалізації):</w:t>
            </w:r>
          </w:p>
          <w:p w:rsidR="0056685C" w:rsidRPr="00F12F99" w:rsidRDefault="0056685C" w:rsidP="0056685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металевий каркас з труб прямокутного профілю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685C" w:rsidRPr="00CA7E1E" w:rsidRDefault="0056685C" w:rsidP="0056685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A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стенду (пілону)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складається з</w:t>
            </w:r>
            <w:r w:rsidRPr="00CA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6685C" w:rsidRPr="00CA7E1E" w:rsidRDefault="0056685C" w:rsidP="0056685C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ind w:left="426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композитний метал;</w:t>
            </w:r>
          </w:p>
          <w:p w:rsidR="0056685C" w:rsidRPr="00CA7E1E" w:rsidRDefault="0056685C" w:rsidP="0056685C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ind w:left="426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екстер'єрна плівка, задрукована УФ-чорнилам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та покрита матовою ламінацією;</w:t>
            </w:r>
          </w:p>
          <w:p w:rsidR="0056685C" w:rsidRPr="00CA7E1E" w:rsidRDefault="0056685C" w:rsidP="0056685C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ind w:left="426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– полікар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бонат протиударний товщиною 3мм;</w:t>
            </w:r>
          </w:p>
          <w:p w:rsidR="0056685C" w:rsidRPr="008710BD" w:rsidRDefault="0056685C" w:rsidP="0056685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боковини стенду (пілону) - декоративні напівкруглі накладки з пластику;</w:t>
            </w:r>
          </w:p>
          <w:p w:rsidR="0056685C" w:rsidRPr="008710BD" w:rsidRDefault="0056685C" w:rsidP="0056685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кришка стенду (пілону) - з фарбованої оцинкованої сталі товщиною 0,5 мм; </w:t>
            </w:r>
          </w:p>
          <w:p w:rsidR="0056685C" w:rsidRDefault="0056685C" w:rsidP="0056685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основа стенду (пілону) - з бетону або бетонування кінців труб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каркасу у землю;</w:t>
            </w:r>
          </w:p>
          <w:p w:rsidR="00D803F9" w:rsidRDefault="00D803F9" w:rsidP="00344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1FA" w:rsidRPr="00F5019C" w:rsidRDefault="009151FA" w:rsidP="00344D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конструкції </w:t>
            </w:r>
            <w:r w:rsidRPr="006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повинні бути виготовлені з антивандальних матеріалів, витримувати сильне зовнішнє навантаження та перепад температур, бути стійкими до впливу атмосферного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також з них повинно бути легко усувати забруднення хімічними барвниками в процесі експлуатації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пошкодження задрукованого шару</w:t>
            </w:r>
            <w:r w:rsidRPr="006C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431D7" w:rsidRPr="006C1727" w:rsidTr="009C6D65">
        <w:tc>
          <w:tcPr>
            <w:tcW w:w="534" w:type="dxa"/>
          </w:tcPr>
          <w:p w:rsidR="00B431D7" w:rsidRDefault="00F965F9" w:rsidP="00465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551" w:type="dxa"/>
          </w:tcPr>
          <w:p w:rsidR="00B431D7" w:rsidRPr="006C1727" w:rsidRDefault="00B431D7" w:rsidP="00465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вимоги до кваліфікації учасників</w:t>
            </w:r>
          </w:p>
        </w:tc>
        <w:tc>
          <w:tcPr>
            <w:tcW w:w="6833" w:type="dxa"/>
          </w:tcPr>
          <w:p w:rsidR="0072657C" w:rsidRPr="009745B0" w:rsidRDefault="008F52C8" w:rsidP="00974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Підтвердити наявність кваліфік</w:t>
            </w:r>
            <w:r w:rsidR="00726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ації </w:t>
            </w:r>
            <w:r w:rsidR="0056685C" w:rsidRPr="0056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фахівців та виконання аналогічних договорів</w:t>
            </w:r>
            <w:r w:rsidR="00566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32680" w:rsidRDefault="00232680" w:rsidP="00B43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A40" w:rsidRDefault="00F55A40" w:rsidP="00E17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92BBD" w:rsidRDefault="00692BBD" w:rsidP="00692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Візуалізація стендів (пілонів):</w:t>
      </w:r>
    </w:p>
    <w:p w:rsidR="00692BBD" w:rsidRDefault="00692BBD" w:rsidP="00692BB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ja-JP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741680</wp:posOffset>
            </wp:positionV>
            <wp:extent cx="1787525" cy="461010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461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Приклад зовнішнього кольорового оформлення та картографічного наповнення стендів (пілонів), що встановлюються:</w:t>
      </w:r>
    </w:p>
    <w:p w:rsidR="00692BBD" w:rsidRDefault="00692BBD" w:rsidP="00692B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BBD" w:rsidRDefault="00692BBD" w:rsidP="00692B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769"/>
      </w:tblGrid>
      <w:tr w:rsidR="00692BBD" w:rsidTr="008D010E">
        <w:trPr>
          <w:trHeight w:val="2164"/>
        </w:trPr>
        <w:tc>
          <w:tcPr>
            <w:tcW w:w="4870" w:type="dxa"/>
            <w:hideMark/>
          </w:tcPr>
          <w:p w:rsidR="00692BBD" w:rsidRDefault="00692BBD">
            <w:pPr>
              <w:pStyle w:val="ListParagraph"/>
              <w:ind w:left="0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Рис.1. Сторона українською мовою </w:t>
            </w:r>
          </w:p>
        </w:tc>
        <w:tc>
          <w:tcPr>
            <w:tcW w:w="4769" w:type="dxa"/>
          </w:tcPr>
          <w:p w:rsidR="00692BBD" w:rsidRDefault="00692BBD">
            <w:pPr>
              <w:pStyle w:val="ListParagraph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0DF" w:rsidRDefault="00E940DF" w:rsidP="00E1756D">
      <w:pPr>
        <w:pStyle w:val="BalloonTex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1756D" w:rsidRPr="0086731D" w:rsidRDefault="00E1756D" w:rsidP="00E1756D">
      <w:pPr>
        <w:pStyle w:val="BalloonTex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Розміри та технічні характеристики</w:t>
      </w:r>
      <w:r w:rsidR="00934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CAF" w:rsidRPr="00934CAF">
        <w:rPr>
          <w:rFonts w:ascii="Times New Roman" w:hAnsi="Times New Roman" w:cs="Times New Roman"/>
          <w:sz w:val="28"/>
          <w:szCs w:val="28"/>
          <w:lang w:val="uk-UA"/>
        </w:rPr>
        <w:t>стендів (пілонів), що реконструюються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CA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12F9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1756D" w:rsidRDefault="00D638FE" w:rsidP="00E175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ja-JP"/>
        </w:rPr>
        <w:drawing>
          <wp:inline distT="0" distB="0" distL="0" distR="0" wp14:anchorId="31C7213D">
            <wp:extent cx="6120765" cy="38773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85C" w:rsidRDefault="0056685C" w:rsidP="0056685C">
      <w:pPr>
        <w:pStyle w:val="ListParagraph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3E1">
        <w:rPr>
          <w:rFonts w:ascii="Times New Roman" w:hAnsi="Times New Roman" w:cs="Times New Roman"/>
          <w:sz w:val="28"/>
          <w:szCs w:val="28"/>
          <w:lang w:val="uk-UA"/>
        </w:rPr>
        <w:t>металевий каркас з труб прямокутного профілю;</w:t>
      </w:r>
    </w:p>
    <w:p w:rsidR="0056685C" w:rsidRPr="001763E1" w:rsidRDefault="0056685C" w:rsidP="0056685C">
      <w:pPr>
        <w:pStyle w:val="ListParagraph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3E1">
        <w:rPr>
          <w:rFonts w:ascii="Times New Roman" w:hAnsi="Times New Roman" w:cs="Times New Roman"/>
          <w:sz w:val="28"/>
          <w:szCs w:val="28"/>
          <w:lang w:val="uk-UA"/>
        </w:rPr>
        <w:t>сторона стенду (пілону), що складається з:</w:t>
      </w:r>
    </w:p>
    <w:p w:rsidR="0056685C" w:rsidRPr="00CA7E1E" w:rsidRDefault="0056685C" w:rsidP="0056685C">
      <w:pPr>
        <w:pStyle w:val="ListParagraph"/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композитний метал;</w:t>
      </w:r>
    </w:p>
    <w:p w:rsidR="0056685C" w:rsidRPr="00CA7E1E" w:rsidRDefault="0056685C" w:rsidP="0056685C">
      <w:pPr>
        <w:pStyle w:val="ListParagraph"/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E1E">
        <w:rPr>
          <w:rFonts w:ascii="Times New Roman" w:hAnsi="Times New Roman" w:cs="Times New Roman"/>
          <w:sz w:val="28"/>
          <w:szCs w:val="28"/>
          <w:lang w:val="uk-UA"/>
        </w:rPr>
        <w:t>екстер'єрна плівка, задрукована УФ-чорнилам</w:t>
      </w:r>
      <w:r>
        <w:rPr>
          <w:rFonts w:ascii="Times New Roman" w:hAnsi="Times New Roman" w:cs="Times New Roman"/>
          <w:sz w:val="28"/>
          <w:szCs w:val="28"/>
          <w:lang w:val="uk-UA"/>
        </w:rPr>
        <w:t>и та покрита матовою ламінацією;</w:t>
      </w:r>
    </w:p>
    <w:p w:rsidR="0056685C" w:rsidRPr="00CA7E1E" w:rsidRDefault="0056685C" w:rsidP="0056685C">
      <w:pPr>
        <w:pStyle w:val="ListParagraph"/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E1E">
        <w:rPr>
          <w:rFonts w:ascii="Times New Roman" w:hAnsi="Times New Roman" w:cs="Times New Roman"/>
          <w:sz w:val="28"/>
          <w:szCs w:val="28"/>
          <w:lang w:val="uk-UA"/>
        </w:rPr>
        <w:t>захист – полікар</w:t>
      </w:r>
      <w:r>
        <w:rPr>
          <w:rFonts w:ascii="Times New Roman" w:hAnsi="Times New Roman" w:cs="Times New Roman"/>
          <w:sz w:val="28"/>
          <w:szCs w:val="28"/>
          <w:lang w:val="uk-UA"/>
        </w:rPr>
        <w:t>бонат протиударний товщиною 3мм;</w:t>
      </w:r>
    </w:p>
    <w:p w:rsidR="0056685C" w:rsidRPr="008710BD" w:rsidRDefault="0056685C" w:rsidP="0056685C">
      <w:pPr>
        <w:pStyle w:val="ListParagraph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BD">
        <w:rPr>
          <w:rFonts w:ascii="Times New Roman" w:hAnsi="Times New Roman" w:cs="Times New Roman"/>
          <w:sz w:val="28"/>
          <w:szCs w:val="28"/>
          <w:lang w:val="uk-UA"/>
        </w:rPr>
        <w:t>боковини стенду (пілону) - декоративні напівкруглі накладки з пластику;</w:t>
      </w:r>
    </w:p>
    <w:p w:rsidR="0056685C" w:rsidRPr="008710BD" w:rsidRDefault="0056685C" w:rsidP="0056685C">
      <w:pPr>
        <w:pStyle w:val="ListParagraph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BD">
        <w:rPr>
          <w:rFonts w:ascii="Times New Roman" w:hAnsi="Times New Roman" w:cs="Times New Roman"/>
          <w:sz w:val="28"/>
          <w:szCs w:val="28"/>
          <w:lang w:val="uk-UA"/>
        </w:rPr>
        <w:t xml:space="preserve">кришка стенду (пілону) - з фарбованої оцинкованої сталі товщиною 0,5 мм; </w:t>
      </w:r>
    </w:p>
    <w:p w:rsidR="0056685C" w:rsidRDefault="0056685C" w:rsidP="0056685C">
      <w:pPr>
        <w:pStyle w:val="ListParagraph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BD">
        <w:rPr>
          <w:rFonts w:ascii="Times New Roman" w:hAnsi="Times New Roman" w:cs="Times New Roman"/>
          <w:sz w:val="28"/>
          <w:szCs w:val="28"/>
          <w:lang w:val="uk-UA"/>
        </w:rPr>
        <w:t xml:space="preserve">основа стенду (пілону) - з бетону або бетонування кінців труб </w:t>
      </w:r>
      <w:r>
        <w:rPr>
          <w:rFonts w:ascii="Times New Roman" w:hAnsi="Times New Roman" w:cs="Times New Roman"/>
          <w:sz w:val="28"/>
          <w:szCs w:val="28"/>
          <w:lang w:val="uk-UA"/>
        </w:rPr>
        <w:t>каркасу у землю;</w:t>
      </w:r>
    </w:p>
    <w:p w:rsidR="006F2E33" w:rsidRDefault="006F2E33" w:rsidP="0056685C">
      <w:pPr>
        <w:pStyle w:val="BalloonTex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AD7" w:rsidRDefault="007D1AD7" w:rsidP="00E1756D">
      <w:pPr>
        <w:pStyle w:val="BalloonTex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56D" w:rsidRDefault="00E1756D" w:rsidP="00E1756D">
      <w:pPr>
        <w:pStyle w:val="BalloonTex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CAF" w:rsidRDefault="00934CAF" w:rsidP="00E9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72F87" w:rsidRDefault="00C72F87" w:rsidP="00C7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:rsidR="0039336F" w:rsidRDefault="0039336F" w:rsidP="003933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вимог технічного характеру</w:t>
      </w:r>
    </w:p>
    <w:p w:rsidR="00C72F87" w:rsidRDefault="00C72F87" w:rsidP="00C7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E5889" w:rsidRDefault="00CE5889" w:rsidP="00C72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756D" w:rsidRPr="00B80C7D" w:rsidRDefault="00E1756D" w:rsidP="00E1756D">
      <w:pPr>
        <w:pStyle w:val="Balloo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C7D">
        <w:rPr>
          <w:rFonts w:ascii="Times New Roman" w:hAnsi="Times New Roman" w:cs="Times New Roman"/>
          <w:b/>
          <w:sz w:val="28"/>
          <w:szCs w:val="28"/>
          <w:lang w:val="uk-UA"/>
        </w:rPr>
        <w:t>Адресна програма</w:t>
      </w:r>
    </w:p>
    <w:p w:rsidR="00E1756D" w:rsidRPr="00B80C7D" w:rsidRDefault="00D803F9" w:rsidP="00E1756D">
      <w:pPr>
        <w:pStyle w:val="Balloo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</w:t>
      </w:r>
      <w:r w:rsidR="00E1756D" w:rsidRPr="00B80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стендів (пілонів) з загальноміською, маршрутно-картографічною та туристичною інформацією на державній та іноземних мовах</w:t>
      </w:r>
    </w:p>
    <w:p w:rsidR="00C72F87" w:rsidRDefault="00C72F87" w:rsidP="007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884" w:type="dxa"/>
        <w:jc w:val="center"/>
        <w:tblLook w:val="04A0" w:firstRow="1" w:lastRow="0" w:firstColumn="1" w:lastColumn="0" w:noHBand="0" w:noVBand="1"/>
      </w:tblPr>
      <w:tblGrid>
        <w:gridCol w:w="424"/>
        <w:gridCol w:w="5400"/>
        <w:gridCol w:w="3060"/>
      </w:tblGrid>
      <w:tr w:rsidR="004B285D" w:rsidRPr="00D00DD7" w:rsidTr="004B285D">
        <w:trPr>
          <w:trHeight w:val="495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D" w:rsidRPr="00D00DD7" w:rsidRDefault="004B285D" w:rsidP="00CE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D00D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D00D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пп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5D" w:rsidRPr="00D00DD7" w:rsidRDefault="004B285D" w:rsidP="00CE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0DD7">
              <w:rPr>
                <w:rFonts w:ascii="Times New Roman" w:hAnsi="Times New Roman" w:cs="Times New Roman"/>
                <w:b/>
                <w:bCs/>
                <w:color w:val="000000"/>
              </w:rPr>
              <w:t>Місце розташування пілону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5D" w:rsidRPr="00943E87" w:rsidRDefault="004B285D" w:rsidP="00CE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Тип</w:t>
            </w:r>
          </w:p>
        </w:tc>
      </w:tr>
      <w:tr w:rsidR="004B285D" w:rsidRPr="00D00DD7" w:rsidTr="004B285D">
        <w:trPr>
          <w:trHeight w:val="30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D" w:rsidRPr="00D00DD7" w:rsidRDefault="004B285D" w:rsidP="00CE58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BE7">
              <w:rPr>
                <w:rFonts w:ascii="Times New Roman" w:hAnsi="Times New Roman" w:cs="Times New Roman"/>
                <w:color w:val="000000"/>
              </w:rPr>
              <w:t>на території привокзальної площі (площа Г.Кірпи)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943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E87">
              <w:rPr>
                <w:rFonts w:ascii="Times New Roman" w:hAnsi="Times New Roman" w:cs="Times New Roman"/>
                <w:color w:val="000000"/>
              </w:rPr>
              <w:t>Інформаційн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943E87">
              <w:rPr>
                <w:rFonts w:ascii="Times New Roman" w:hAnsi="Times New Roman" w:cs="Times New Roman"/>
                <w:color w:val="000000"/>
              </w:rPr>
              <w:t xml:space="preserve"> карт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943E87">
              <w:rPr>
                <w:rFonts w:ascii="Times New Roman" w:hAnsi="Times New Roman" w:cs="Times New Roman"/>
                <w:color w:val="000000"/>
              </w:rPr>
              <w:t xml:space="preserve"> міста</w:t>
            </w:r>
          </w:p>
        </w:tc>
      </w:tr>
      <w:tr w:rsidR="004B285D" w:rsidRPr="00D00DD7" w:rsidTr="004B285D">
        <w:trPr>
          <w:trHeight w:val="30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D" w:rsidRPr="00D00DD7" w:rsidRDefault="004B285D" w:rsidP="00CE58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BE7">
              <w:rPr>
                <w:rFonts w:ascii="Times New Roman" w:hAnsi="Times New Roman" w:cs="Times New Roman"/>
                <w:color w:val="000000"/>
              </w:rPr>
              <w:t>на території комунальної власності поруч з автобусн</w:t>
            </w:r>
            <w:r>
              <w:rPr>
                <w:rFonts w:ascii="Times New Roman" w:hAnsi="Times New Roman" w:cs="Times New Roman"/>
                <w:color w:val="000000"/>
              </w:rPr>
              <w:t>ою зупинкою «універмаг «Дружба»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E87">
              <w:rPr>
                <w:rFonts w:ascii="Times New Roman" w:hAnsi="Times New Roman" w:cs="Times New Roman"/>
                <w:color w:val="000000"/>
              </w:rPr>
              <w:t>Інформаційна карта міста</w:t>
            </w:r>
          </w:p>
        </w:tc>
      </w:tr>
      <w:tr w:rsidR="004B285D" w:rsidRPr="00D00DD7" w:rsidTr="004B285D">
        <w:trPr>
          <w:trHeight w:val="30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D" w:rsidRPr="00D00DD7" w:rsidRDefault="004B285D" w:rsidP="00CE58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BE7">
              <w:rPr>
                <w:rFonts w:ascii="Times New Roman" w:hAnsi="Times New Roman" w:cs="Times New Roman"/>
              </w:rPr>
              <w:t>поруч з автовокзалом на площі-зупинці громадського транспорту, або дотичній ділянці комунальної власності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E87">
              <w:rPr>
                <w:rFonts w:ascii="Times New Roman" w:hAnsi="Times New Roman" w:cs="Times New Roman"/>
                <w:color w:val="000000"/>
              </w:rPr>
              <w:t>Інформаційна карта міста</w:t>
            </w:r>
          </w:p>
        </w:tc>
      </w:tr>
      <w:tr w:rsidR="004B285D" w:rsidRPr="00D00DD7" w:rsidTr="004B285D">
        <w:trPr>
          <w:trHeight w:val="30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D" w:rsidRPr="00D00DD7" w:rsidRDefault="004B285D" w:rsidP="00CE58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943E87" w:rsidRDefault="004B285D" w:rsidP="00CE5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При в’їзді з </w:t>
            </w:r>
            <w:r w:rsidRPr="00943E87">
              <w:rPr>
                <w:rFonts w:ascii="Times New Roman" w:hAnsi="Times New Roman" w:cs="Times New Roman"/>
                <w:color w:val="000000"/>
                <w:lang w:val="uk-UA"/>
              </w:rPr>
              <w:t>м.Хмельницький на вул.Старокостянтинівське шосе на землях комунальної власності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E87">
              <w:rPr>
                <w:rFonts w:ascii="Times New Roman" w:hAnsi="Times New Roman" w:cs="Times New Roman"/>
                <w:color w:val="000000"/>
              </w:rPr>
              <w:t>Інформаційна карта міста</w:t>
            </w:r>
          </w:p>
        </w:tc>
      </w:tr>
      <w:tr w:rsidR="004B285D" w:rsidRPr="00D00DD7" w:rsidTr="004B285D">
        <w:trPr>
          <w:trHeight w:val="30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D" w:rsidRPr="00D00DD7" w:rsidRDefault="004B285D" w:rsidP="00CE58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При в’їзді з </w:t>
            </w:r>
            <w:r w:rsidRPr="00943E87">
              <w:rPr>
                <w:rFonts w:ascii="Times New Roman" w:hAnsi="Times New Roman" w:cs="Times New Roman"/>
                <w:color w:val="000000"/>
              </w:rPr>
              <w:t>с.Судилків, орієнтовно поруч з вул.Судилківська, буд.179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E87">
              <w:rPr>
                <w:rFonts w:ascii="Times New Roman" w:hAnsi="Times New Roman" w:cs="Times New Roman"/>
                <w:color w:val="000000"/>
              </w:rPr>
              <w:t>Інформаційна карта міста</w:t>
            </w:r>
          </w:p>
        </w:tc>
      </w:tr>
      <w:tr w:rsidR="004B285D" w:rsidRPr="00D00DD7" w:rsidTr="004B285D">
        <w:trPr>
          <w:trHeight w:val="30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D" w:rsidRPr="00D00DD7" w:rsidRDefault="004B285D" w:rsidP="00CE58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При в’їзді з</w:t>
            </w:r>
            <w:r>
              <w:t xml:space="preserve"> </w:t>
            </w:r>
            <w:r w:rsidRPr="00943E87">
              <w:rPr>
                <w:rFonts w:ascii="Times New Roman" w:hAnsi="Times New Roman" w:cs="Times New Roman"/>
                <w:color w:val="000000"/>
                <w:lang w:val="uk-UA"/>
              </w:rPr>
              <w:t>в’їзд від м.Славута поруч з магазином «Астра», вул.Валі Котика, 177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E87">
              <w:rPr>
                <w:rFonts w:ascii="Times New Roman" w:hAnsi="Times New Roman" w:cs="Times New Roman"/>
                <w:color w:val="000000"/>
              </w:rPr>
              <w:t>Інформаційна карта міста</w:t>
            </w:r>
          </w:p>
        </w:tc>
      </w:tr>
      <w:tr w:rsidR="004B285D" w:rsidRPr="00D00DD7" w:rsidTr="004B285D">
        <w:trPr>
          <w:trHeight w:val="30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D" w:rsidRPr="00D00DD7" w:rsidRDefault="004B285D" w:rsidP="00CE5889">
            <w:pPr>
              <w:pStyle w:val="a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Поруч з </w:t>
            </w:r>
            <w:r w:rsidRPr="00943E87">
              <w:rPr>
                <w:rFonts w:ascii="Times New Roman" w:hAnsi="Times New Roman" w:cs="Times New Roman"/>
                <w:color w:val="000000"/>
                <w:lang w:val="uk-UA"/>
              </w:rPr>
              <w:t>ЗОШ №6 та Вузлової лікарні, на землях комунальної власності поруч з будинком по вул.Героїв Небесної Сотні, буд.95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туристично-інформаційний стенд</w:t>
            </w:r>
          </w:p>
        </w:tc>
      </w:tr>
      <w:tr w:rsidR="004B285D" w:rsidRPr="00D00DD7" w:rsidTr="004B285D">
        <w:trPr>
          <w:trHeight w:val="30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D" w:rsidRPr="00D00DD7" w:rsidRDefault="004B285D" w:rsidP="00CE5889">
            <w:pPr>
              <w:pStyle w:val="a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E87">
              <w:rPr>
                <w:rFonts w:ascii="Times New Roman" w:hAnsi="Times New Roman" w:cs="Times New Roman"/>
                <w:color w:val="000000"/>
              </w:rPr>
              <w:t>НВК№3, на землях комунальної власності поруч з будинком 65А, вул.Українська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туристично-інформаційний стенд</w:t>
            </w:r>
          </w:p>
        </w:tc>
      </w:tr>
      <w:tr w:rsidR="004B285D" w:rsidRPr="00D00DD7" w:rsidTr="004B285D">
        <w:trPr>
          <w:trHeight w:val="30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D" w:rsidRPr="00D00DD7" w:rsidRDefault="004B285D" w:rsidP="00CE5889">
            <w:pPr>
              <w:pStyle w:val="a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E87">
              <w:rPr>
                <w:rFonts w:ascii="Times New Roman" w:hAnsi="Times New Roman" w:cs="Times New Roman"/>
                <w:color w:val="000000"/>
              </w:rPr>
              <w:t>напроти ЦУМу, на землях комунальної власності напроти будинку вул.Судилківська, буд.1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туристично-інформаційний стенд</w:t>
            </w:r>
          </w:p>
        </w:tc>
      </w:tr>
      <w:tr w:rsidR="004B285D" w:rsidRPr="00D00DD7" w:rsidTr="004B285D">
        <w:trPr>
          <w:trHeight w:val="30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5D" w:rsidRPr="00D00DD7" w:rsidRDefault="004B285D" w:rsidP="00CE5889">
            <w:pPr>
              <w:pStyle w:val="a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3E87">
              <w:rPr>
                <w:rFonts w:ascii="Times New Roman" w:hAnsi="Times New Roman" w:cs="Times New Roman"/>
                <w:color w:val="000000"/>
              </w:rPr>
              <w:t>в районі цукрового комбінату, на землях комунальної власності поруч з вул.Пліщинська, буд.2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5D" w:rsidRPr="004D0C32" w:rsidRDefault="004B285D" w:rsidP="00CE58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туристично-інформаційний стенд</w:t>
            </w:r>
          </w:p>
        </w:tc>
      </w:tr>
    </w:tbl>
    <w:p w:rsidR="004B285D" w:rsidRDefault="004B285D" w:rsidP="007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010" w:rsidRDefault="004B285D" w:rsidP="004B2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ja-JP"/>
        </w:rPr>
        <w:drawing>
          <wp:inline distT="0" distB="0" distL="0" distR="0">
            <wp:extent cx="3810556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=shepetiv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972" cy="289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010" w:rsidRDefault="002F2010" w:rsidP="007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F2010" w:rsidRDefault="002F2010" w:rsidP="002F2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2 </w:t>
      </w:r>
    </w:p>
    <w:p w:rsidR="002F2010" w:rsidRDefault="002F2010" w:rsidP="002F2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p w:rsidR="00CE5889" w:rsidRDefault="00CE5889" w:rsidP="002F2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F2010" w:rsidRPr="00A87EE0" w:rsidRDefault="002F2010" w:rsidP="00A87EE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EE0">
        <w:rPr>
          <w:rFonts w:ascii="Times New Roman" w:hAnsi="Times New Roman" w:cs="Times New Roman"/>
          <w:b/>
          <w:sz w:val="28"/>
          <w:szCs w:val="28"/>
          <w:lang w:val="uk-UA"/>
        </w:rPr>
        <w:t>Перелі</w:t>
      </w:r>
      <w:r w:rsidR="00BB4F20">
        <w:rPr>
          <w:rFonts w:ascii="Times New Roman" w:hAnsi="Times New Roman" w:cs="Times New Roman"/>
          <w:b/>
          <w:sz w:val="28"/>
          <w:szCs w:val="28"/>
          <w:lang w:val="uk-UA"/>
        </w:rPr>
        <w:t>к основних туристичних об'єктів</w:t>
      </w:r>
    </w:p>
    <w:sectPr w:rsidR="002F2010" w:rsidRPr="00A87EE0" w:rsidSect="00466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1EA7"/>
    <w:multiLevelType w:val="hybridMultilevel"/>
    <w:tmpl w:val="15804114"/>
    <w:lvl w:ilvl="0" w:tplc="A4561528"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547318C"/>
    <w:multiLevelType w:val="hybridMultilevel"/>
    <w:tmpl w:val="F54863A6"/>
    <w:lvl w:ilvl="0" w:tplc="83D8647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0DF9"/>
    <w:multiLevelType w:val="hybridMultilevel"/>
    <w:tmpl w:val="9486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A50"/>
    <w:multiLevelType w:val="hybridMultilevel"/>
    <w:tmpl w:val="4FEEE322"/>
    <w:lvl w:ilvl="0" w:tplc="6764E3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116D"/>
    <w:multiLevelType w:val="hybridMultilevel"/>
    <w:tmpl w:val="5F88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238D"/>
    <w:multiLevelType w:val="hybridMultilevel"/>
    <w:tmpl w:val="6B24AD6A"/>
    <w:lvl w:ilvl="0" w:tplc="80EE9E9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F5FD2"/>
    <w:multiLevelType w:val="hybridMultilevel"/>
    <w:tmpl w:val="6F78B248"/>
    <w:lvl w:ilvl="0" w:tplc="83D8647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35761"/>
    <w:multiLevelType w:val="hybridMultilevel"/>
    <w:tmpl w:val="BAB8BC00"/>
    <w:lvl w:ilvl="0" w:tplc="83D8647E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>
    <w:nsid w:val="20A76704"/>
    <w:multiLevelType w:val="hybridMultilevel"/>
    <w:tmpl w:val="9522CF1E"/>
    <w:lvl w:ilvl="0" w:tplc="59347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92EA1"/>
    <w:multiLevelType w:val="hybridMultilevel"/>
    <w:tmpl w:val="2A94DFBC"/>
    <w:lvl w:ilvl="0" w:tplc="A4561528"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B49EC"/>
    <w:multiLevelType w:val="hybridMultilevel"/>
    <w:tmpl w:val="322412E8"/>
    <w:lvl w:ilvl="0" w:tplc="880E2A48">
      <w:start w:val="1"/>
      <w:numFmt w:val="bullet"/>
      <w:lvlText w:val=""/>
      <w:lvlJc w:val="left"/>
      <w:pPr>
        <w:ind w:left="284" w:firstLine="3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0619F"/>
    <w:multiLevelType w:val="hybridMultilevel"/>
    <w:tmpl w:val="6A7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6199"/>
    <w:multiLevelType w:val="hybridMultilevel"/>
    <w:tmpl w:val="9486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24B49"/>
    <w:multiLevelType w:val="hybridMultilevel"/>
    <w:tmpl w:val="EA102616"/>
    <w:lvl w:ilvl="0" w:tplc="6764E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346FC"/>
    <w:multiLevelType w:val="hybridMultilevel"/>
    <w:tmpl w:val="28F6DE90"/>
    <w:lvl w:ilvl="0" w:tplc="B25C0D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85000"/>
    <w:multiLevelType w:val="hybridMultilevel"/>
    <w:tmpl w:val="9C389790"/>
    <w:lvl w:ilvl="0" w:tplc="43D6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963CC"/>
    <w:multiLevelType w:val="hybridMultilevel"/>
    <w:tmpl w:val="CFAC704C"/>
    <w:lvl w:ilvl="0" w:tplc="7CA2EC88">
      <w:start w:val="1"/>
      <w:numFmt w:val="decimal"/>
      <w:pStyle w:val="a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D4058"/>
    <w:multiLevelType w:val="hybridMultilevel"/>
    <w:tmpl w:val="E100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F7B12"/>
    <w:multiLevelType w:val="hybridMultilevel"/>
    <w:tmpl w:val="7056F850"/>
    <w:lvl w:ilvl="0" w:tplc="0419000F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9">
    <w:nsid w:val="605A2AC0"/>
    <w:multiLevelType w:val="hybridMultilevel"/>
    <w:tmpl w:val="8206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638E4"/>
    <w:multiLevelType w:val="hybridMultilevel"/>
    <w:tmpl w:val="78F82DAA"/>
    <w:lvl w:ilvl="0" w:tplc="7F322C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13F24"/>
    <w:multiLevelType w:val="hybridMultilevel"/>
    <w:tmpl w:val="FC1C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4042F"/>
    <w:multiLevelType w:val="hybridMultilevel"/>
    <w:tmpl w:val="4F328E56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3">
    <w:nsid w:val="6FEB4BF0"/>
    <w:multiLevelType w:val="hybridMultilevel"/>
    <w:tmpl w:val="D48CBEE8"/>
    <w:lvl w:ilvl="0" w:tplc="83D86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07968"/>
    <w:multiLevelType w:val="hybridMultilevel"/>
    <w:tmpl w:val="CC02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A396F"/>
    <w:multiLevelType w:val="hybridMultilevel"/>
    <w:tmpl w:val="295E409A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6">
    <w:nsid w:val="777756CE"/>
    <w:multiLevelType w:val="hybridMultilevel"/>
    <w:tmpl w:val="41EED5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2623EC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9E62D1"/>
    <w:multiLevelType w:val="hybridMultilevel"/>
    <w:tmpl w:val="70E2255C"/>
    <w:lvl w:ilvl="0" w:tplc="83D8647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8">
    <w:nsid w:val="7C8D09DF"/>
    <w:multiLevelType w:val="hybridMultilevel"/>
    <w:tmpl w:val="A524E352"/>
    <w:lvl w:ilvl="0" w:tplc="9A66D60A">
      <w:start w:val="1"/>
      <w:numFmt w:val="bullet"/>
      <w:lvlText w:val=""/>
      <w:lvlJc w:val="left"/>
      <w:pPr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D79D5"/>
    <w:multiLevelType w:val="hybridMultilevel"/>
    <w:tmpl w:val="BBC8A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F3A6C"/>
    <w:multiLevelType w:val="hybridMultilevel"/>
    <w:tmpl w:val="FAE01BAA"/>
    <w:lvl w:ilvl="0" w:tplc="6764E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4B4F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76C8E"/>
    <w:multiLevelType w:val="hybridMultilevel"/>
    <w:tmpl w:val="ABD46AC2"/>
    <w:lvl w:ilvl="0" w:tplc="63BC9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6"/>
  </w:num>
  <w:num w:numId="4">
    <w:abstractNumId w:val="31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20"/>
  </w:num>
  <w:num w:numId="10">
    <w:abstractNumId w:val="8"/>
  </w:num>
  <w:num w:numId="11">
    <w:abstractNumId w:val="12"/>
  </w:num>
  <w:num w:numId="12">
    <w:abstractNumId w:val="21"/>
  </w:num>
  <w:num w:numId="13">
    <w:abstractNumId w:val="5"/>
  </w:num>
  <w:num w:numId="14">
    <w:abstractNumId w:val="9"/>
  </w:num>
  <w:num w:numId="15">
    <w:abstractNumId w:val="15"/>
  </w:num>
  <w:num w:numId="16">
    <w:abstractNumId w:val="19"/>
  </w:num>
  <w:num w:numId="17">
    <w:abstractNumId w:val="4"/>
  </w:num>
  <w:num w:numId="18">
    <w:abstractNumId w:val="23"/>
  </w:num>
  <w:num w:numId="19">
    <w:abstractNumId w:val="25"/>
  </w:num>
  <w:num w:numId="20">
    <w:abstractNumId w:val="18"/>
  </w:num>
  <w:num w:numId="21">
    <w:abstractNumId w:val="22"/>
  </w:num>
  <w:num w:numId="22">
    <w:abstractNumId w:val="7"/>
  </w:num>
  <w:num w:numId="23">
    <w:abstractNumId w:val="10"/>
  </w:num>
  <w:num w:numId="24">
    <w:abstractNumId w:val="28"/>
  </w:num>
  <w:num w:numId="25">
    <w:abstractNumId w:val="27"/>
  </w:num>
  <w:num w:numId="26">
    <w:abstractNumId w:val="6"/>
  </w:num>
  <w:num w:numId="27">
    <w:abstractNumId w:val="11"/>
  </w:num>
  <w:num w:numId="28">
    <w:abstractNumId w:val="24"/>
  </w:num>
  <w:num w:numId="29">
    <w:abstractNumId w:val="16"/>
  </w:num>
  <w:num w:numId="30">
    <w:abstractNumId w:val="1"/>
  </w:num>
  <w:num w:numId="31">
    <w:abstractNumId w:val="3"/>
  </w:num>
  <w:num w:numId="32">
    <w:abstractNumId w:val="13"/>
  </w:num>
  <w:num w:numId="33">
    <w:abstractNumId w:val="3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D7"/>
    <w:rsid w:val="000363C3"/>
    <w:rsid w:val="00050F74"/>
    <w:rsid w:val="00051392"/>
    <w:rsid w:val="00074579"/>
    <w:rsid w:val="00091059"/>
    <w:rsid w:val="00093A26"/>
    <w:rsid w:val="000C054A"/>
    <w:rsid w:val="000D591A"/>
    <w:rsid w:val="000E2FE3"/>
    <w:rsid w:val="000F49A8"/>
    <w:rsid w:val="0011319C"/>
    <w:rsid w:val="00115989"/>
    <w:rsid w:val="00126E5B"/>
    <w:rsid w:val="00143728"/>
    <w:rsid w:val="00144FFD"/>
    <w:rsid w:val="001476D7"/>
    <w:rsid w:val="001514D6"/>
    <w:rsid w:val="0015182A"/>
    <w:rsid w:val="00157498"/>
    <w:rsid w:val="00160BF8"/>
    <w:rsid w:val="00162DD0"/>
    <w:rsid w:val="00163CB2"/>
    <w:rsid w:val="0017268A"/>
    <w:rsid w:val="0018223E"/>
    <w:rsid w:val="00185CDC"/>
    <w:rsid w:val="001B3847"/>
    <w:rsid w:val="001E173A"/>
    <w:rsid w:val="001E6D4E"/>
    <w:rsid w:val="001F7DC2"/>
    <w:rsid w:val="00215587"/>
    <w:rsid w:val="0022440B"/>
    <w:rsid w:val="00226F0C"/>
    <w:rsid w:val="002318EB"/>
    <w:rsid w:val="00232498"/>
    <w:rsid w:val="00232680"/>
    <w:rsid w:val="0023589C"/>
    <w:rsid w:val="00281274"/>
    <w:rsid w:val="002856AD"/>
    <w:rsid w:val="002A626A"/>
    <w:rsid w:val="002A7CBB"/>
    <w:rsid w:val="002C3F32"/>
    <w:rsid w:val="002C643B"/>
    <w:rsid w:val="002D1B61"/>
    <w:rsid w:val="002D34E9"/>
    <w:rsid w:val="002F0948"/>
    <w:rsid w:val="002F2010"/>
    <w:rsid w:val="002F77D6"/>
    <w:rsid w:val="0031346C"/>
    <w:rsid w:val="00313F7C"/>
    <w:rsid w:val="00323A18"/>
    <w:rsid w:val="0034158E"/>
    <w:rsid w:val="00343028"/>
    <w:rsid w:val="00344DB5"/>
    <w:rsid w:val="00364A13"/>
    <w:rsid w:val="00367BAC"/>
    <w:rsid w:val="00372936"/>
    <w:rsid w:val="0038294B"/>
    <w:rsid w:val="003866C7"/>
    <w:rsid w:val="0039336F"/>
    <w:rsid w:val="00395C1B"/>
    <w:rsid w:val="003974C9"/>
    <w:rsid w:val="003E277B"/>
    <w:rsid w:val="003E637C"/>
    <w:rsid w:val="003E7678"/>
    <w:rsid w:val="0040444D"/>
    <w:rsid w:val="00413A84"/>
    <w:rsid w:val="00413FF4"/>
    <w:rsid w:val="004227AE"/>
    <w:rsid w:val="00457BE7"/>
    <w:rsid w:val="004659BB"/>
    <w:rsid w:val="0046655E"/>
    <w:rsid w:val="0048610F"/>
    <w:rsid w:val="004936D0"/>
    <w:rsid w:val="004B285D"/>
    <w:rsid w:val="004B46DB"/>
    <w:rsid w:val="004B6C4A"/>
    <w:rsid w:val="004D0968"/>
    <w:rsid w:val="004D0C32"/>
    <w:rsid w:val="004D1CED"/>
    <w:rsid w:val="004D3F91"/>
    <w:rsid w:val="004D7842"/>
    <w:rsid w:val="004F77DC"/>
    <w:rsid w:val="005012E8"/>
    <w:rsid w:val="00505A1B"/>
    <w:rsid w:val="005378A2"/>
    <w:rsid w:val="005408B3"/>
    <w:rsid w:val="00542EC8"/>
    <w:rsid w:val="00543862"/>
    <w:rsid w:val="00551C6C"/>
    <w:rsid w:val="00556866"/>
    <w:rsid w:val="005574BD"/>
    <w:rsid w:val="00563E33"/>
    <w:rsid w:val="0056685C"/>
    <w:rsid w:val="00566FF3"/>
    <w:rsid w:val="00581A82"/>
    <w:rsid w:val="0059165A"/>
    <w:rsid w:val="005D0172"/>
    <w:rsid w:val="005D1B5D"/>
    <w:rsid w:val="005E597A"/>
    <w:rsid w:val="005E7BCC"/>
    <w:rsid w:val="005F65A9"/>
    <w:rsid w:val="00623935"/>
    <w:rsid w:val="006326A6"/>
    <w:rsid w:val="00637912"/>
    <w:rsid w:val="00655793"/>
    <w:rsid w:val="006759BF"/>
    <w:rsid w:val="00680302"/>
    <w:rsid w:val="0068335D"/>
    <w:rsid w:val="00692BBD"/>
    <w:rsid w:val="006A7901"/>
    <w:rsid w:val="006C2EFF"/>
    <w:rsid w:val="006C36F2"/>
    <w:rsid w:val="006E6919"/>
    <w:rsid w:val="006F1D60"/>
    <w:rsid w:val="006F2E33"/>
    <w:rsid w:val="00716B58"/>
    <w:rsid w:val="00722A09"/>
    <w:rsid w:val="0072657C"/>
    <w:rsid w:val="00734737"/>
    <w:rsid w:val="00756C4D"/>
    <w:rsid w:val="00757BFC"/>
    <w:rsid w:val="0076505F"/>
    <w:rsid w:val="00773E55"/>
    <w:rsid w:val="00786DEF"/>
    <w:rsid w:val="007924EE"/>
    <w:rsid w:val="007A5898"/>
    <w:rsid w:val="007B197F"/>
    <w:rsid w:val="007B4A58"/>
    <w:rsid w:val="007C04E6"/>
    <w:rsid w:val="007C40CC"/>
    <w:rsid w:val="007C54F8"/>
    <w:rsid w:val="007D1AD7"/>
    <w:rsid w:val="007D6EC8"/>
    <w:rsid w:val="00805671"/>
    <w:rsid w:val="00842831"/>
    <w:rsid w:val="00846716"/>
    <w:rsid w:val="00847F3F"/>
    <w:rsid w:val="008644F9"/>
    <w:rsid w:val="00873B88"/>
    <w:rsid w:val="008745E3"/>
    <w:rsid w:val="008814EC"/>
    <w:rsid w:val="00883B75"/>
    <w:rsid w:val="008874EE"/>
    <w:rsid w:val="008B2F9E"/>
    <w:rsid w:val="008B3386"/>
    <w:rsid w:val="008C3914"/>
    <w:rsid w:val="008D010E"/>
    <w:rsid w:val="008D43EF"/>
    <w:rsid w:val="008D58C9"/>
    <w:rsid w:val="008E3512"/>
    <w:rsid w:val="008F52C8"/>
    <w:rsid w:val="00903AA0"/>
    <w:rsid w:val="0090495D"/>
    <w:rsid w:val="00914548"/>
    <w:rsid w:val="009151FA"/>
    <w:rsid w:val="009238D7"/>
    <w:rsid w:val="009249C3"/>
    <w:rsid w:val="009272FA"/>
    <w:rsid w:val="00934CAF"/>
    <w:rsid w:val="00935815"/>
    <w:rsid w:val="009424A6"/>
    <w:rsid w:val="00943E87"/>
    <w:rsid w:val="00944CE2"/>
    <w:rsid w:val="009745B0"/>
    <w:rsid w:val="009930CB"/>
    <w:rsid w:val="009A4609"/>
    <w:rsid w:val="009A46CC"/>
    <w:rsid w:val="009C188A"/>
    <w:rsid w:val="009C38C5"/>
    <w:rsid w:val="009C4B6F"/>
    <w:rsid w:val="009C6D65"/>
    <w:rsid w:val="009D677E"/>
    <w:rsid w:val="009E0901"/>
    <w:rsid w:val="009E5C53"/>
    <w:rsid w:val="009E613D"/>
    <w:rsid w:val="009F5565"/>
    <w:rsid w:val="00A016FA"/>
    <w:rsid w:val="00A139EE"/>
    <w:rsid w:val="00A156D1"/>
    <w:rsid w:val="00A2531A"/>
    <w:rsid w:val="00A265B9"/>
    <w:rsid w:val="00A50828"/>
    <w:rsid w:val="00A56C4F"/>
    <w:rsid w:val="00A57C4B"/>
    <w:rsid w:val="00A75DD7"/>
    <w:rsid w:val="00A81741"/>
    <w:rsid w:val="00A87EE0"/>
    <w:rsid w:val="00A90C09"/>
    <w:rsid w:val="00AB5698"/>
    <w:rsid w:val="00AC3006"/>
    <w:rsid w:val="00AC74E4"/>
    <w:rsid w:val="00AE0449"/>
    <w:rsid w:val="00AF017F"/>
    <w:rsid w:val="00AF2138"/>
    <w:rsid w:val="00AF43CC"/>
    <w:rsid w:val="00B31278"/>
    <w:rsid w:val="00B35EF6"/>
    <w:rsid w:val="00B431D7"/>
    <w:rsid w:val="00B503C9"/>
    <w:rsid w:val="00B5593A"/>
    <w:rsid w:val="00BA230C"/>
    <w:rsid w:val="00BB4F20"/>
    <w:rsid w:val="00BD38DE"/>
    <w:rsid w:val="00BD485A"/>
    <w:rsid w:val="00BE200A"/>
    <w:rsid w:val="00BE2EA6"/>
    <w:rsid w:val="00BF4B1F"/>
    <w:rsid w:val="00BF7616"/>
    <w:rsid w:val="00C02849"/>
    <w:rsid w:val="00C1140D"/>
    <w:rsid w:val="00C118A1"/>
    <w:rsid w:val="00C20BFB"/>
    <w:rsid w:val="00C22587"/>
    <w:rsid w:val="00C25B5E"/>
    <w:rsid w:val="00C33488"/>
    <w:rsid w:val="00C45CEF"/>
    <w:rsid w:val="00C72F87"/>
    <w:rsid w:val="00C86697"/>
    <w:rsid w:val="00C93055"/>
    <w:rsid w:val="00C96B6E"/>
    <w:rsid w:val="00CB79EB"/>
    <w:rsid w:val="00CC1696"/>
    <w:rsid w:val="00CD15CE"/>
    <w:rsid w:val="00CE5889"/>
    <w:rsid w:val="00D00DD7"/>
    <w:rsid w:val="00D014F8"/>
    <w:rsid w:val="00D05D94"/>
    <w:rsid w:val="00D2467B"/>
    <w:rsid w:val="00D25BC4"/>
    <w:rsid w:val="00D3556C"/>
    <w:rsid w:val="00D41573"/>
    <w:rsid w:val="00D47378"/>
    <w:rsid w:val="00D51DF7"/>
    <w:rsid w:val="00D55E5A"/>
    <w:rsid w:val="00D61239"/>
    <w:rsid w:val="00D638FE"/>
    <w:rsid w:val="00D803F9"/>
    <w:rsid w:val="00D83C8E"/>
    <w:rsid w:val="00D9387D"/>
    <w:rsid w:val="00DA59C2"/>
    <w:rsid w:val="00DB2DF8"/>
    <w:rsid w:val="00DB703B"/>
    <w:rsid w:val="00DD7607"/>
    <w:rsid w:val="00E04077"/>
    <w:rsid w:val="00E06192"/>
    <w:rsid w:val="00E1756D"/>
    <w:rsid w:val="00E254BC"/>
    <w:rsid w:val="00E3268F"/>
    <w:rsid w:val="00E40E5E"/>
    <w:rsid w:val="00E43A64"/>
    <w:rsid w:val="00E56B2D"/>
    <w:rsid w:val="00E67932"/>
    <w:rsid w:val="00E80BB1"/>
    <w:rsid w:val="00E81C54"/>
    <w:rsid w:val="00E940DF"/>
    <w:rsid w:val="00E95346"/>
    <w:rsid w:val="00EA3940"/>
    <w:rsid w:val="00EA63A4"/>
    <w:rsid w:val="00EC20E1"/>
    <w:rsid w:val="00EC6291"/>
    <w:rsid w:val="00ED371F"/>
    <w:rsid w:val="00EE16CB"/>
    <w:rsid w:val="00EE704E"/>
    <w:rsid w:val="00F0238A"/>
    <w:rsid w:val="00F23ECA"/>
    <w:rsid w:val="00F32792"/>
    <w:rsid w:val="00F5019C"/>
    <w:rsid w:val="00F51059"/>
    <w:rsid w:val="00F53530"/>
    <w:rsid w:val="00F55A40"/>
    <w:rsid w:val="00F640C2"/>
    <w:rsid w:val="00F667F6"/>
    <w:rsid w:val="00F80258"/>
    <w:rsid w:val="00F8634D"/>
    <w:rsid w:val="00F965F9"/>
    <w:rsid w:val="00FC0542"/>
    <w:rsid w:val="00FC3593"/>
    <w:rsid w:val="00FC7E08"/>
    <w:rsid w:val="00FE16E3"/>
    <w:rsid w:val="00FE5C32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82144-8A72-435C-967B-9199AC95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E3"/>
  </w:style>
  <w:style w:type="paragraph" w:styleId="Heading1">
    <w:name w:val="heading 1"/>
    <w:basedOn w:val="Normal"/>
    <w:next w:val="Normal"/>
    <w:link w:val="Heading1Char"/>
    <w:uiPriority w:val="9"/>
    <w:qFormat/>
    <w:rsid w:val="0092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B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31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431D7"/>
    <w:rPr>
      <w:rFonts w:asciiTheme="majorHAnsi" w:eastAsiaTheme="majorEastAsia" w:hAnsiTheme="majorHAnsi" w:cstheme="majorBidi"/>
      <w:b/>
      <w:bCs/>
      <w:i/>
      <w:iCs/>
      <w:color w:val="4F81BD" w:themeColor="accent1"/>
      <w:lang w:bidi="he-IL"/>
    </w:rPr>
  </w:style>
  <w:style w:type="paragraph" w:styleId="ListParagraph">
    <w:name w:val="List Paragraph"/>
    <w:basedOn w:val="Normal"/>
    <w:link w:val="ListParagraphChar"/>
    <w:uiPriority w:val="34"/>
    <w:qFormat/>
    <w:rsid w:val="00B431D7"/>
    <w:pPr>
      <w:ind w:left="720"/>
      <w:contextualSpacing/>
    </w:pPr>
  </w:style>
  <w:style w:type="table" w:styleId="TableGrid">
    <w:name w:val="Table Grid"/>
    <w:basedOn w:val="TableNormal"/>
    <w:uiPriority w:val="59"/>
    <w:rsid w:val="00B431D7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09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1059"/>
    <w:rPr>
      <w:rFonts w:ascii="Tahoma" w:hAnsi="Tahoma" w:cs="Tahoma"/>
      <w:sz w:val="16"/>
      <w:szCs w:val="16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D25B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92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8D7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styleId="NormalWeb">
    <w:name w:val="Normal (Web)"/>
    <w:basedOn w:val="Normal"/>
    <w:uiPriority w:val="99"/>
    <w:semiHidden/>
    <w:unhideWhenUsed/>
    <w:rsid w:val="0092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38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E5E"/>
    <w:rPr>
      <w:color w:val="800080"/>
      <w:u w:val="single"/>
    </w:rPr>
  </w:style>
  <w:style w:type="paragraph" w:customStyle="1" w:styleId="xl67">
    <w:name w:val="xl67"/>
    <w:basedOn w:val="Normal"/>
    <w:rsid w:val="00E4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E4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E4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E4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E4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E4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E4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E4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E4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E4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4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E4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E4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E4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E4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E4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4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4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E4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E40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E40E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E40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Normal"/>
    <w:rsid w:val="00E40E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E40E5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E40E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Normal"/>
    <w:rsid w:val="00E40E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E40E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E40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Normal"/>
    <w:rsid w:val="00E40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E40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E40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E40E5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E40E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Normal"/>
    <w:rsid w:val="00E40E5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Normal"/>
    <w:rsid w:val="00E40E5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ficommentbody">
    <w:name w:val="uficommentbody"/>
    <w:basedOn w:val="DefaultParagraphFont"/>
    <w:rsid w:val="007924EE"/>
  </w:style>
  <w:style w:type="paragraph" w:customStyle="1" w:styleId="a">
    <w:name w:val="нумерація табл"/>
    <w:basedOn w:val="ListParagraph"/>
    <w:link w:val="a0"/>
    <w:qFormat/>
    <w:rsid w:val="00BD38DE"/>
    <w:pPr>
      <w:numPr>
        <w:numId w:val="29"/>
      </w:numPr>
      <w:spacing w:after="0" w:line="240" w:lineRule="auto"/>
      <w:ind w:left="0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38DE"/>
  </w:style>
  <w:style w:type="character" w:customStyle="1" w:styleId="a0">
    <w:name w:val="нумерація табл Знак"/>
    <w:basedOn w:val="ListParagraphChar"/>
    <w:link w:val="a"/>
    <w:rsid w:val="00BD38DE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C32E-701F-44BF-9A71-78324871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4545</Words>
  <Characters>2592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Factory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KOTENKO PAVLO</dc:creator>
  <cp:lastModifiedBy>KOTENKO PAVLO</cp:lastModifiedBy>
  <cp:revision>6</cp:revision>
  <cp:lastPrinted>2017-03-22T14:05:00Z</cp:lastPrinted>
  <dcterms:created xsi:type="dcterms:W3CDTF">2018-05-23T14:10:00Z</dcterms:created>
  <dcterms:modified xsi:type="dcterms:W3CDTF">2018-05-25T09:27:00Z</dcterms:modified>
</cp:coreProperties>
</file>